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>
          <w:rFonts w:ascii="Georgia" w:cs="Georgia" w:eastAsia="Georgia" w:hAnsi="Georgia"/>
        </w:rPr>
      </w:pPr>
      <w:bookmarkStart w:colFirst="0" w:colLast="0" w:name="_tessjg6k7prb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VA Death Benefits Navigation Checklist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jv7p1o5teb8m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Immediate Steps After Loss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Obtain multiple certified copies of death certificate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Locate veteran's military discharge papers (DD Form 214)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Notify VA of veteran's passing (1-800-827-1000)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Contact a funeral home to begin burial arrangements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Decide between national cemetery burial or private cemetery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xrboc3xudo7s" w:id="2"/>
      <w:bookmarkEnd w:id="2"/>
      <w:r w:rsidDel="00000000" w:rsidR="00000000" w:rsidRPr="00000000">
        <w:rPr>
          <w:rFonts w:ascii="Georgia" w:cs="Georgia" w:eastAsia="Georgia" w:hAnsi="Georgia"/>
          <w:rtl w:val="0"/>
        </w:rPr>
        <w:t xml:space="preserve">Document Collection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Military Service Records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DD Form 214 (discharge papers)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Service treatment records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Any VA claim numbers or documentation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Personal Documentation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Death certificate (certified copy)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Marriage certificate (for surviving spouses)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Birth certificates (for dependent children)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Social Security numbers for all claimants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Banking information for direct deposit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Recent tax returns or financial statements (if applying for pension)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h3nukbsfkuba" w:id="3"/>
      <w:bookmarkEnd w:id="3"/>
      <w:r w:rsidDel="00000000" w:rsidR="00000000" w:rsidRPr="00000000">
        <w:rPr>
          <w:rFonts w:ascii="Georgia" w:cs="Georgia" w:eastAsia="Georgia" w:hAnsi="Georgia"/>
          <w:rtl w:val="0"/>
        </w:rPr>
        <w:t xml:space="preserve">Burial Benefits Application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Determine eligibility for burial benefits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Complete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VA Form 21P-530EZ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(Application for Burial Benefits)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Gather funeral home receipts and documentation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Submit burial allowance claim within 2 years of burial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Request Presidential Memorial Certificate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Apply for headstone or marker if needed (VA Form 40-1330)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48k3r08dp2wa" w:id="4"/>
      <w:bookmarkEnd w:id="4"/>
      <w:r w:rsidDel="00000000" w:rsidR="00000000" w:rsidRPr="00000000">
        <w:rPr>
          <w:rFonts w:ascii="Georgia" w:cs="Georgia" w:eastAsia="Georgia" w:hAnsi="Georgia"/>
          <w:rtl w:val="0"/>
        </w:rPr>
        <w:t xml:space="preserve">Financial Benefits Application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Determine eligibility for Dependency and Indemnity Compensation (DIC)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Complete VA Form 21P-534EZ for DIC or survivors pension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Gather proof of income and net worth (for pension claims)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Submit any supporting medical evidence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Document unreimbursed medical expenses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tmbtted7f195" w:id="5"/>
      <w:bookmarkEnd w:id="5"/>
      <w:r w:rsidDel="00000000" w:rsidR="00000000" w:rsidRPr="00000000">
        <w:rPr>
          <w:rFonts w:ascii="Georgia" w:cs="Georgia" w:eastAsia="Georgia" w:hAnsi="Georgia"/>
          <w:rtl w:val="0"/>
        </w:rPr>
        <w:t xml:space="preserve">Support Network Setup</w:t>
      </w:r>
    </w:p>
    <w:p w:rsidR="00000000" w:rsidDel="00000000" w:rsidP="00000000" w:rsidRDefault="00000000" w:rsidRPr="00000000" w14:paraId="00000027">
      <w:pPr>
        <w:spacing w:line="480" w:lineRule="auto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Contact a Veterans Service Organization (VSO) for free assistance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American Legion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Veterans of Foreign Wars (VFW)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Disabled American Veterans (DAV)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Consider visiting a VA regional office for in-person help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Keep VA hotline number handy (1-800-827-1000)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lsu5fzh5fw6d" w:id="6"/>
      <w:bookmarkEnd w:id="6"/>
      <w:r w:rsidDel="00000000" w:rsidR="00000000" w:rsidRPr="00000000">
        <w:rPr>
          <w:rFonts w:ascii="Georgia" w:cs="Georgia" w:eastAsia="Georgia" w:hAnsi="Georgia"/>
          <w:rtl w:val="0"/>
        </w:rPr>
        <w:t xml:space="preserve">Follow-Up Tasks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Create a system to track submitted documents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Keep copies of all submitted paperwork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Record claim numbers and reference numbers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Set calendar reminders for following up on claims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Document all communication with VA (dates, names, outcomes)</w:t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2w6e4jrxyzsb" w:id="7"/>
      <w:bookmarkEnd w:id="7"/>
      <w:r w:rsidDel="00000000" w:rsidR="00000000" w:rsidRPr="00000000">
        <w:rPr>
          <w:rFonts w:ascii="Georgia" w:cs="Georgia" w:eastAsia="Georgia" w:hAnsi="Georgia"/>
          <w:rtl w:val="0"/>
        </w:rPr>
        <w:t xml:space="preserve">Additional Considerations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Check eligibility for Social Security benefits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Update legal documents if needed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Review veteran's life insurance policies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Consider grief counseling through VA Vet Centers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Join support groups for veteran families if desired</w:t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1mmq2tyhmg2u" w:id="8"/>
      <w:bookmarkEnd w:id="8"/>
      <w:r w:rsidDel="00000000" w:rsidR="00000000" w:rsidRPr="00000000">
        <w:rPr>
          <w:rFonts w:ascii="Georgia" w:cs="Georgia" w:eastAsia="Georgia" w:hAnsi="Georgia"/>
          <w:rtl w:val="0"/>
        </w:rPr>
        <w:t xml:space="preserve">Important Reminders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File claims as soon as possible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Keep original documents; submit copies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Track application status regularly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Appeal decisions if necessary (within deadline)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line="480" w:lineRule="auto"/>
        <w:ind w:left="720" w:hanging="360"/>
        <w:rPr>
          <w:rFonts w:ascii="Georgia" w:cs="Georgia" w:eastAsia="Georgia" w:hAnsi="Georgia"/>
          <w:u w:val="none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Stay in contact with assigned VSO representative</w:t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Remember: These benefits were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earned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through service. Don't hesitate to seek help or ask questions during the process.</w:t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va.gov/find-forms/about-form-21p-530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